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ind w:left="38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附件</w:t>
      </w:r>
      <w:r>
        <w:rPr>
          <w:rFonts w:hint="eastAsia" w:ascii="仿宋" w:hAnsi="仿宋" w:eastAsia="仿宋" w:cs="仿宋"/>
          <w:spacing w:val="-55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jc w:val="center"/>
        <w:textAlignment w:val="baseline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日常</w:t>
      </w:r>
      <w:r>
        <w:rPr>
          <w:rFonts w:hint="eastAsia" w:ascii="仿宋" w:hAnsi="仿宋" w:eastAsia="仿宋" w:cs="仿宋"/>
          <w:spacing w:val="-2"/>
          <w:sz w:val="28"/>
          <w:szCs w:val="28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考核标准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一、常规差错情形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（一）A类差错：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A-1 未按规定拍摄现场照片或损失相片的；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A-2 照片中没有车架号码的；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A-3 发动机有损失的情况下没有拍摄发动机号码的；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A-4 上传照片不规范的，如横传、错传、漏传等；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A-5 因操作失误或疏忽大意，车险理赔系统内错选赔付险种的;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A-6 没有准确选择标的或三者车型的;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A-7 没有正确填写车架号码或必要时没有填写发动机号码的;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A-8 定损项目和工时错写、漏写相互颠倒的、其它情况没有备注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说明的或备注不规范;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A-9 无正当理由，未按规定上传查勘、定损及索赔资料的;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A-10 未按规定填写《查勘报告》的;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A-11 上传资料错误或不全;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A-12 定性或定损错误但尚未造成损失的;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A-13 其它违反</w:t>
      </w:r>
      <w:r>
        <w:rPr>
          <w:spacing w:val="-2"/>
          <w:sz w:val="28"/>
          <w:szCs w:val="28"/>
        </w:rPr>
        <w:t>《</w:t>
      </w:r>
      <w:r>
        <w:rPr>
          <w:rFonts w:hint="eastAsia"/>
          <w:spacing w:val="-2"/>
          <w:sz w:val="28"/>
          <w:szCs w:val="28"/>
          <w:lang w:val="en-US" w:eastAsia="zh-CN"/>
        </w:rPr>
        <w:t>车险理赔</w:t>
      </w:r>
      <w:r>
        <w:rPr>
          <w:spacing w:val="-2"/>
          <w:sz w:val="28"/>
          <w:szCs w:val="28"/>
        </w:rPr>
        <w:t>查勘定损</w:t>
      </w:r>
      <w:r>
        <w:rPr>
          <w:rFonts w:hint="eastAsia"/>
          <w:spacing w:val="-2"/>
          <w:sz w:val="28"/>
          <w:szCs w:val="28"/>
          <w:lang w:val="en-US" w:eastAsia="zh-CN"/>
        </w:rPr>
        <w:t>标准化作业</w:t>
      </w:r>
      <w:r>
        <w:rPr>
          <w:spacing w:val="-2"/>
          <w:sz w:val="28"/>
          <w:szCs w:val="28"/>
        </w:rPr>
        <w:t>手册》</w:t>
      </w:r>
      <w:r>
        <w:rPr>
          <w:rFonts w:hint="eastAsia"/>
          <w:spacing w:val="-2"/>
          <w:sz w:val="28"/>
          <w:szCs w:val="28"/>
          <w:lang w:eastAsia="zh-CN"/>
        </w:rPr>
        <w:t>、《</w:t>
      </w:r>
      <w:r>
        <w:rPr>
          <w:rFonts w:hint="eastAsia"/>
          <w:spacing w:val="-2"/>
          <w:sz w:val="28"/>
          <w:szCs w:val="28"/>
          <w:lang w:val="en-US" w:eastAsia="zh-CN"/>
        </w:rPr>
        <w:t>理赔反欺诈实务手册</w:t>
      </w:r>
      <w:r>
        <w:rPr>
          <w:rFonts w:hint="eastAsia"/>
          <w:spacing w:val="-2"/>
          <w:sz w:val="28"/>
          <w:szCs w:val="28"/>
          <w:lang w:eastAsia="zh-CN"/>
        </w:rPr>
        <w:t>》</w:t>
      </w:r>
      <w:r>
        <w:rPr>
          <w:spacing w:val="-2"/>
          <w:sz w:val="28"/>
          <w:szCs w:val="28"/>
        </w:rPr>
        <w:t>、工作流程及考核标准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要求的;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（二）B类差错：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B-1 估损项目明显超过实际损失，经查属实的;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B-2 未核对受损车辆车型代码等资料，致使核价或赔偿错误、造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成公司损失的;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B-3 越权限向客户承诺、造成公司损失的;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B-4 因上传资料的错误或不全，致使后台核损出现差错的;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B-5 因定性或定损错误，并给公司造成损失的;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B-6 公估人员不服从调度或变相找理由不服从调度的；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B-7 擅自指导客户离开现场而不按规定进行现场查勘的;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B-8 未经特别授权，超越授权范围工作，给公司造成经济损失或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恶劣影响的;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（三）C类差错：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C-1 故意刁难客户，给公司信誉造成恶劣影响的；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C-2 与不良客户或者修理厂串通，弄虚作假损害公司利益、图谋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私利的；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C-3 因保管不善，遗失赔案或赔案中重要单证，造成我司无法确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认赔付依据的;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C-4 不按我司规定推荐修理厂，一经查实的;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（四）处罚：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1、A类差错每次罚款人民币不低于50元；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2、B类差错每次罚款人民币不低于100元；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3、C类差错每次罚款人民币不低于1000元，并立即调离岗位；情 节严重者要求合作分公司处理相关人员，触犯刑律者移交司法机关处理。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二、人伤查勘与投诉处罚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1、查勘案件处罚：处罚费用在月结查勘费用中直接扣减。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人伤查勘案件超时效10天内的按60元/件。超时效10天以上的按 120元/件。人伤案件未住院查勘的按200元/件。退回案件按10元/件次。法院案件未在规定时间内完成的案件按60元/件。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首次查勘时未调查，后期安排调查的，不再计费。人伤案件超时或住院未查勘不计算基础费用，但计算处罚。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2、投诉处罚：处罚费用在月结查勘费用中直接扣减，超出当月 查勘费用的处罚金额由乙方在收到甲方处理意见之日起5个工作日内直接向甲方支付。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通过 4008668666 等渠道的公司投诉且调查属实的案件，按 200 元/件处罚。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通过保监局、保险协会等渠道的投诉且调查属实的案件，按 2000 元/件处罚。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对甲方造成重大影响的投诉且调查属实的案件，由甲方根据影响情况商定后向乙方以书面形式告知处理结果。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-2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pacing w:val="-2"/>
          <w:sz w:val="28"/>
          <w:szCs w:val="28"/>
        </w:rPr>
        <w:t xml:space="preserve"> 经查属实的乙方公估人员因工作态度、工作技能或职业操守而被有效投诉在每月超出三次的，乙方每例向甲方支付违约金 RMB500元（含前三次），从第四次起乙方每例向甲方支付违约金 RMB1000元</w:t>
      </w:r>
      <w:r>
        <w:rPr>
          <w:rFonts w:hint="eastAsia" w:cs="仿宋"/>
          <w:spacing w:val="-2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3</w:t>
      </w:r>
      <w:r>
        <w:rPr>
          <w:rFonts w:hint="eastAsia" w:ascii="仿宋" w:hAnsi="仿宋" w:eastAsia="仿宋" w:cs="仿宋"/>
          <w:spacing w:val="-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其他情况：视情况双方协商处理。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三、其它事项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1、甲乙双方应建立协商机制，甲乙双方每月定期召开联席工 作会议，就业务和管理等问题进行研讨；根据实际情况不定期就 业务发展情况和存在的问题进行磋商，寻求解决方案；制订特殊情况处理机制。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2、乙方根据甲方业务量和业务难度，进行人力的合理配置和投入，加强人员的培训和管理，不断提高整体技能和职业道德水平。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00" w:lineRule="exact"/>
        <w:ind w:right="11" w:firstLine="552" w:firstLineChars="200"/>
        <w:jc w:val="both"/>
        <w:textAlignment w:val="baseline"/>
        <w:rPr>
          <w:rFonts w:hint="eastAsia" w:ascii="仿宋" w:hAnsi="仿宋" w:eastAsia="仿宋" w:cs="仿宋"/>
          <w:spacing w:val="-2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3、乙方关键岗位人员的变动，应提前一月书面通知甲方并经同意，乙方应负责做好交接工作，确保工作的顺利进行。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8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925732"/>
    <w:rsid w:val="383B5262"/>
    <w:rsid w:val="54F51F7E"/>
    <w:rsid w:val="5C534E4A"/>
    <w:rsid w:val="6378681C"/>
    <w:rsid w:val="6547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2024-05-24T08:47:00Z</dcterms:created>
  <dc:creator>CJSC-LP02</dc:creator>
  <cp:lastModifiedBy>CJSC-LP02</cp:lastModifiedBy>
  <dcterms:modified xsi:type="dcterms:W3CDTF">2024-05-27T02:01:43Z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6D44C6F3C5684475842C632A2F99E222</vt:lpwstr>
  </property>
</Properties>
</file>